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0C" w:rsidRDefault="00307F0C" w:rsidP="00307F0C">
      <w:pPr>
        <w:pStyle w:val="Brdtekst"/>
        <w:keepLine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Kære kollega</w:t>
      </w:r>
    </w:p>
    <w:p w:rsidR="00307F0C" w:rsidRPr="00307F0C" w:rsidRDefault="00307F0C" w:rsidP="00307F0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 w:rsidRPr="00307F0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Det fremgår at pa</w:t>
      </w:r>
      <w:r w:rsidR="00852DD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tienten henvises med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 xml:space="preserve"> </w:t>
      </w:r>
      <w:r>
        <w:rPr>
          <w:rFonts w:ascii="Times New Roman" w:hAnsi="Times New Roman"/>
          <w:sz w:val="24"/>
          <w:szCs w:val="24"/>
        </w:rPr>
        <w:t>på grund af nedsunken forfod/</w:t>
      </w:r>
      <w:proofErr w:type="spellStart"/>
      <w:r>
        <w:rPr>
          <w:rFonts w:ascii="Times New Roman" w:hAnsi="Times New Roman"/>
          <w:sz w:val="24"/>
          <w:szCs w:val="24"/>
        </w:rPr>
        <w:t>metatarsalgi</w:t>
      </w:r>
      <w:proofErr w:type="spellEnd"/>
    </w:p>
    <w:p w:rsidR="00307F0C" w:rsidRDefault="00307F0C" w:rsidP="00307F0C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Metatarsalgi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/forfodsnedfald (dm77.4) </w:t>
      </w:r>
      <w:r>
        <w:rPr>
          <w:rFonts w:ascii="Times New Roman" w:hAnsi="Times New Roman"/>
          <w:sz w:val="24"/>
          <w:szCs w:val="24"/>
        </w:rPr>
        <w:t xml:space="preserve">er en tilstand med overbelastning under forfoden og specielt af bløddelene under </w:t>
      </w:r>
      <w:proofErr w:type="spellStart"/>
      <w:r>
        <w:rPr>
          <w:rFonts w:ascii="Times New Roman" w:hAnsi="Times New Roman"/>
          <w:sz w:val="24"/>
          <w:szCs w:val="24"/>
        </w:rPr>
        <w:t>caput</w:t>
      </w:r>
      <w:proofErr w:type="spellEnd"/>
      <w:r>
        <w:rPr>
          <w:rFonts w:ascii="Times New Roman" w:hAnsi="Times New Roman"/>
          <w:sz w:val="24"/>
          <w:szCs w:val="24"/>
        </w:rPr>
        <w:t xml:space="preserve"> af de centrale metatarser. Tilstanden ses ofte hos aktive kvinder efter menopausen og skyldes gentagen overbelastning med degeneration af de </w:t>
      </w:r>
      <w:proofErr w:type="spellStart"/>
      <w:r>
        <w:rPr>
          <w:rFonts w:ascii="Times New Roman" w:hAnsi="Times New Roman"/>
          <w:sz w:val="24"/>
          <w:szCs w:val="24"/>
        </w:rPr>
        <w:t>plantare</w:t>
      </w:r>
      <w:proofErr w:type="spellEnd"/>
      <w:r>
        <w:rPr>
          <w:rFonts w:ascii="Times New Roman" w:hAnsi="Times New Roman"/>
          <w:sz w:val="24"/>
          <w:szCs w:val="24"/>
        </w:rPr>
        <w:t xml:space="preserve"> strukturer under metatarsernes grundled.</w:t>
      </w:r>
    </w:p>
    <w:p w:rsidR="00307F0C" w:rsidRDefault="00307F0C" w:rsidP="00307F0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Objektivt er der ømhed ved tryk under </w:t>
      </w:r>
      <w:proofErr w:type="spellStart"/>
      <w:r w:rsidR="00283298">
        <w:rPr>
          <w:rFonts w:ascii="Times New Roman" w:hAnsi="Times New Roman"/>
          <w:sz w:val="24"/>
          <w:szCs w:val="24"/>
        </w:rPr>
        <w:t>caput</w:t>
      </w:r>
      <w:proofErr w:type="spellEnd"/>
      <w:r w:rsidR="00283298">
        <w:rPr>
          <w:rFonts w:ascii="Times New Roman" w:hAnsi="Times New Roman"/>
          <w:sz w:val="24"/>
          <w:szCs w:val="24"/>
        </w:rPr>
        <w:t xml:space="preserve"> af metatarserne og</w:t>
      </w:r>
      <w:r>
        <w:rPr>
          <w:rFonts w:ascii="Times New Roman" w:hAnsi="Times New Roman"/>
          <w:sz w:val="24"/>
          <w:szCs w:val="24"/>
        </w:rPr>
        <w:t xml:space="preserve"> hårdhudsdannelse.</w:t>
      </w:r>
      <w:r w:rsidR="00283298">
        <w:rPr>
          <w:rFonts w:ascii="Times New Roman" w:hAnsi="Times New Roman"/>
          <w:sz w:val="24"/>
          <w:szCs w:val="24"/>
        </w:rPr>
        <w:t xml:space="preserve"> Forfoden fremtræder breddeøget og affladet, der er ofte afstand mellem 2. og 3. tå.</w:t>
      </w:r>
    </w:p>
    <w:p w:rsidR="00283298" w:rsidRDefault="00283298" w:rsidP="00307F0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kan tages røntgen af forfoden i stående stilling.</w:t>
      </w:r>
    </w:p>
    <w:p w:rsidR="00283298" w:rsidRDefault="00283298" w:rsidP="00307F0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298" w:rsidRDefault="00283298" w:rsidP="00307F0C">
      <w:pPr>
        <w:pStyle w:val="Brdteks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83298">
        <w:rPr>
          <w:rFonts w:ascii="Times New Roman" w:hAnsi="Times New Roman"/>
          <w:b/>
          <w:sz w:val="24"/>
          <w:szCs w:val="24"/>
          <w:lang w:val="en-US"/>
        </w:rPr>
        <w:t xml:space="preserve">Differential diagnose: </w:t>
      </w:r>
      <w:proofErr w:type="spellStart"/>
      <w:r w:rsidRPr="00283298">
        <w:rPr>
          <w:rFonts w:ascii="Times New Roman" w:hAnsi="Times New Roman"/>
          <w:sz w:val="24"/>
          <w:szCs w:val="24"/>
          <w:lang w:val="en-US"/>
        </w:rPr>
        <w:t>Mortons</w:t>
      </w:r>
      <w:proofErr w:type="spellEnd"/>
      <w:r w:rsidRPr="00283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3298">
        <w:rPr>
          <w:rFonts w:ascii="Times New Roman" w:hAnsi="Times New Roman"/>
          <w:sz w:val="24"/>
          <w:szCs w:val="24"/>
          <w:lang w:val="en-US"/>
        </w:rPr>
        <w:t>neurom</w:t>
      </w:r>
      <w:proofErr w:type="spellEnd"/>
      <w:r w:rsidRPr="00283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3298">
        <w:rPr>
          <w:rFonts w:ascii="Times New Roman" w:hAnsi="Times New Roman"/>
          <w:sz w:val="24"/>
          <w:szCs w:val="24"/>
          <w:lang w:val="en-US"/>
        </w:rPr>
        <w:t>eller</w:t>
      </w:r>
      <w:proofErr w:type="spellEnd"/>
      <w:r w:rsidRPr="00283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3298">
        <w:rPr>
          <w:rFonts w:ascii="Times New Roman" w:hAnsi="Times New Roman"/>
          <w:sz w:val="24"/>
          <w:szCs w:val="24"/>
          <w:lang w:val="en-US"/>
        </w:rPr>
        <w:t>avaskulær</w:t>
      </w:r>
      <w:proofErr w:type="spellEnd"/>
      <w:r w:rsidRPr="00283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3298">
        <w:rPr>
          <w:rFonts w:ascii="Times New Roman" w:hAnsi="Times New Roman"/>
          <w:sz w:val="24"/>
          <w:szCs w:val="24"/>
          <w:lang w:val="en-US"/>
        </w:rPr>
        <w:t>caputnekrose</w:t>
      </w:r>
      <w:proofErr w:type="spellEnd"/>
      <w:r w:rsidRPr="0028329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3298" w:rsidRDefault="00283298" w:rsidP="00307F0C">
      <w:pPr>
        <w:pStyle w:val="Brdteks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7F0C" w:rsidRDefault="00283298" w:rsidP="00307F0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  <w:r w:rsidRPr="00283298">
        <w:rPr>
          <w:rFonts w:ascii="Times New Roman" w:hAnsi="Times New Roman"/>
          <w:b/>
          <w:sz w:val="24"/>
          <w:szCs w:val="24"/>
        </w:rPr>
        <w:t xml:space="preserve">Behandling: </w:t>
      </w:r>
      <w:r w:rsidRPr="00283298">
        <w:rPr>
          <w:rFonts w:ascii="Times New Roman" w:eastAsia="Times New Roman" w:hAnsi="Times New Roman" w:cs="Times New Roman"/>
          <w:sz w:val="24"/>
          <w:szCs w:val="24"/>
        </w:rPr>
        <w:t>konservativ, smerterne</w:t>
      </w:r>
      <w:r w:rsidR="00307F0C">
        <w:rPr>
          <w:rFonts w:ascii="Times New Roman" w:hAnsi="Times New Roman"/>
          <w:sz w:val="24"/>
          <w:szCs w:val="24"/>
        </w:rPr>
        <w:t xml:space="preserve"> afhjælpes med et præfabrikeret indlæg eller indlæg efter afstøbning forsynet med pelotte.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Præfabrikerede indlæg kan f.eks. </w:t>
      </w:r>
      <w:r w:rsidR="00307F0C">
        <w:rPr>
          <w:rFonts w:ascii="Times New Roman" w:hAnsi="Times New Roman"/>
          <w:sz w:val="24"/>
          <w:szCs w:val="24"/>
        </w:rPr>
        <w:t>erhverves hos sk</w:t>
      </w:r>
      <w:r>
        <w:rPr>
          <w:rFonts w:ascii="Times New Roman" w:hAnsi="Times New Roman"/>
          <w:sz w:val="24"/>
          <w:szCs w:val="24"/>
        </w:rPr>
        <w:t xml:space="preserve">oforhandler eller i sygepleje butik. Hvis disse </w:t>
      </w:r>
      <w:r w:rsidR="00852DDC">
        <w:rPr>
          <w:rFonts w:ascii="Times New Roman" w:hAnsi="Times New Roman"/>
          <w:sz w:val="24"/>
          <w:szCs w:val="24"/>
        </w:rPr>
        <w:t>indlæg ikke afhjælper tilstanden tilstrækkeligt</w:t>
      </w:r>
      <w:r>
        <w:rPr>
          <w:rFonts w:ascii="Times New Roman" w:hAnsi="Times New Roman"/>
          <w:sz w:val="24"/>
          <w:szCs w:val="24"/>
        </w:rPr>
        <w:t xml:space="preserve"> kan patienten henvises til bandagist med henblik på udformning af </w:t>
      </w:r>
      <w:proofErr w:type="spellStart"/>
      <w:r>
        <w:rPr>
          <w:rFonts w:ascii="Times New Roman" w:hAnsi="Times New Roman"/>
          <w:sz w:val="24"/>
          <w:szCs w:val="24"/>
        </w:rPr>
        <w:t>afstøbningsinlæg</w:t>
      </w:r>
      <w:proofErr w:type="spellEnd"/>
      <w:r>
        <w:rPr>
          <w:rFonts w:ascii="Times New Roman" w:hAnsi="Times New Roman"/>
          <w:sz w:val="24"/>
          <w:szCs w:val="24"/>
        </w:rPr>
        <w:t xml:space="preserve">. Dette kræver </w:t>
      </w:r>
      <w:r w:rsidRPr="00852DDC">
        <w:rPr>
          <w:rFonts w:ascii="Times New Roman" w:hAnsi="Times New Roman"/>
          <w:b/>
          <w:sz w:val="24"/>
          <w:szCs w:val="24"/>
        </w:rPr>
        <w:t>ikke</w:t>
      </w:r>
      <w:r>
        <w:rPr>
          <w:rFonts w:ascii="Times New Roman" w:hAnsi="Times New Roman"/>
          <w:sz w:val="24"/>
          <w:szCs w:val="24"/>
        </w:rPr>
        <w:t xml:space="preserve"> ortopædkirurgisk speciallæge vurdering. </w:t>
      </w:r>
      <w:r w:rsidR="00307F0C">
        <w:rPr>
          <w:rFonts w:ascii="Times New Roman" w:hAnsi="Times New Roman"/>
          <w:sz w:val="24"/>
          <w:szCs w:val="24"/>
        </w:rPr>
        <w:t>Der ydes ikke kommunalt tilskud til</w:t>
      </w:r>
      <w:r>
        <w:rPr>
          <w:rFonts w:ascii="Times New Roman" w:hAnsi="Times New Roman"/>
          <w:sz w:val="24"/>
          <w:szCs w:val="24"/>
        </w:rPr>
        <w:t xml:space="preserve"> indlæg for nedsunken forfod, medmindre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af følgende tilstande er tilstede:</w:t>
      </w:r>
    </w:p>
    <w:p w:rsidR="006678F0" w:rsidRDefault="006678F0" w:rsidP="00307F0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8F0" w:rsidRP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8F0">
        <w:rPr>
          <w:rFonts w:ascii="Times New Roman" w:eastAsia="Times New Roman" w:hAnsi="Times New Roman" w:cs="Times New Roman"/>
          <w:sz w:val="24"/>
          <w:szCs w:val="24"/>
        </w:rPr>
        <w:t>1. Leddegigt med svært forfodsfald 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8F0">
        <w:rPr>
          <w:rFonts w:ascii="Times New Roman" w:eastAsia="Times New Roman" w:hAnsi="Times New Roman" w:cs="Times New Roman"/>
          <w:sz w:val="24"/>
          <w:szCs w:val="24"/>
        </w:rPr>
        <w:t>tådeformiteter</w:t>
      </w:r>
      <w:proofErr w:type="spellEnd"/>
      <w:r w:rsidRPr="00667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8F0" w:rsidRP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8F0">
        <w:rPr>
          <w:rFonts w:ascii="Times New Roman" w:eastAsia="Times New Roman" w:hAnsi="Times New Roman" w:cs="Times New Roman"/>
          <w:sz w:val="24"/>
          <w:szCs w:val="24"/>
        </w:rPr>
        <w:t>2. Sårdannelser og risiko for sår i fodsålen 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8F0">
        <w:rPr>
          <w:rFonts w:ascii="Times New Roman" w:eastAsia="Times New Roman" w:hAnsi="Times New Roman" w:cs="Times New Roman"/>
          <w:sz w:val="24"/>
          <w:szCs w:val="24"/>
        </w:rPr>
        <w:t>føleforstyrrelser som følge af sukkersyge, kroniske</w:t>
      </w:r>
    </w:p>
    <w:p w:rsidR="006678F0" w:rsidRP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78F0">
        <w:rPr>
          <w:rFonts w:ascii="Times New Roman" w:eastAsia="Times New Roman" w:hAnsi="Times New Roman" w:cs="Times New Roman"/>
          <w:sz w:val="24"/>
          <w:szCs w:val="24"/>
        </w:rPr>
        <w:t xml:space="preserve">nervelidelser eller ved </w:t>
      </w:r>
      <w:proofErr w:type="spellStart"/>
      <w:r w:rsidRPr="006678F0">
        <w:rPr>
          <w:rFonts w:ascii="Times New Roman" w:eastAsia="Times New Roman" w:hAnsi="Times New Roman" w:cs="Times New Roman"/>
          <w:sz w:val="24"/>
          <w:szCs w:val="24"/>
        </w:rPr>
        <w:t>kredslø</w:t>
      </w:r>
      <w:proofErr w:type="spellEnd"/>
      <w:r w:rsidRPr="006678F0">
        <w:rPr>
          <w:rFonts w:ascii="Times New Roman" w:eastAsia="Times New Roman" w:hAnsi="Times New Roman" w:cs="Times New Roman"/>
          <w:sz w:val="24"/>
          <w:szCs w:val="24"/>
          <w:lang w:val="it-IT"/>
        </w:rPr>
        <w:t>bsinsufficiens.</w:t>
      </w:r>
      <w:proofErr w:type="gramEnd"/>
    </w:p>
    <w:p w:rsid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8F0" w:rsidRP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8F0">
        <w:rPr>
          <w:rFonts w:ascii="Times New Roman" w:eastAsia="Times New Roman" w:hAnsi="Times New Roman" w:cs="Times New Roman"/>
          <w:sz w:val="24"/>
          <w:szCs w:val="24"/>
        </w:rPr>
        <w:t>3. Svært forfodsfald ved samtidig dårligt</w:t>
      </w:r>
      <w:r w:rsidR="00852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8F0">
        <w:rPr>
          <w:rFonts w:ascii="Times New Roman" w:eastAsia="Times New Roman" w:hAnsi="Times New Roman" w:cs="Times New Roman"/>
          <w:sz w:val="24"/>
          <w:szCs w:val="24"/>
          <w:lang w:val="sv-SE"/>
        </w:rPr>
        <w:t>blodoml</w:t>
      </w:r>
      <w:r w:rsidRPr="006678F0">
        <w:rPr>
          <w:rFonts w:ascii="Times New Roman" w:eastAsia="Times New Roman" w:hAnsi="Times New Roman" w:cs="Times New Roman"/>
          <w:sz w:val="24"/>
          <w:szCs w:val="24"/>
        </w:rPr>
        <w:t>øb</w:t>
      </w:r>
      <w:proofErr w:type="spellEnd"/>
      <w:r w:rsidRPr="00667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8F0">
        <w:rPr>
          <w:rFonts w:ascii="Times New Roman" w:eastAsia="Times New Roman" w:hAnsi="Times New Roman" w:cs="Times New Roman"/>
          <w:sz w:val="24"/>
          <w:szCs w:val="24"/>
        </w:rPr>
        <w:t xml:space="preserve">4. Stiv </w:t>
      </w:r>
      <w:proofErr w:type="spellStart"/>
      <w:r w:rsidRPr="006678F0">
        <w:rPr>
          <w:rFonts w:ascii="Times New Roman" w:eastAsia="Times New Roman" w:hAnsi="Times New Roman" w:cs="Times New Roman"/>
          <w:sz w:val="24"/>
          <w:szCs w:val="24"/>
        </w:rPr>
        <w:t>fodrod</w:t>
      </w:r>
      <w:proofErr w:type="spellEnd"/>
      <w:r w:rsidRPr="006678F0">
        <w:rPr>
          <w:rFonts w:ascii="Times New Roman" w:eastAsia="Times New Roman" w:hAnsi="Times New Roman" w:cs="Times New Roman"/>
          <w:sz w:val="24"/>
          <w:szCs w:val="24"/>
        </w:rPr>
        <w:t xml:space="preserve"> (medfødte sammenvoksninger, </w:t>
      </w:r>
      <w:proofErr w:type="spellStart"/>
      <w:r w:rsidRPr="006678F0">
        <w:rPr>
          <w:rFonts w:ascii="Times New Roman" w:eastAsia="Times New Roman" w:hAnsi="Times New Roman" w:cs="Times New Roman"/>
          <w:sz w:val="24"/>
          <w:szCs w:val="24"/>
        </w:rPr>
        <w:t>coalitio</w:t>
      </w:r>
      <w:proofErr w:type="spellEnd"/>
      <w:r w:rsidRPr="006678F0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8F0">
        <w:rPr>
          <w:rFonts w:ascii="Times New Roman" w:eastAsia="Times New Roman" w:hAnsi="Times New Roman" w:cs="Times New Roman"/>
          <w:sz w:val="24"/>
          <w:szCs w:val="24"/>
        </w:rPr>
        <w:t>svæ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fejlstillinger efter brud på </w:t>
      </w:r>
      <w:r w:rsidRPr="006678F0">
        <w:rPr>
          <w:rFonts w:ascii="Times New Roman" w:eastAsia="Times New Roman" w:hAnsi="Times New Roman" w:cs="Times New Roman"/>
          <w:sz w:val="24"/>
          <w:szCs w:val="24"/>
        </w:rPr>
        <w:t>fodrodsknogler,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8F0">
        <w:rPr>
          <w:rFonts w:ascii="Times New Roman" w:eastAsia="Times New Roman" w:hAnsi="Times New Roman" w:cs="Times New Roman"/>
          <w:sz w:val="24"/>
          <w:szCs w:val="24"/>
        </w:rPr>
        <w:t xml:space="preserve">kroniske </w:t>
      </w:r>
      <w:proofErr w:type="spellStart"/>
      <w:r w:rsidRPr="006678F0">
        <w:rPr>
          <w:rFonts w:ascii="Times New Roman" w:eastAsia="Times New Roman" w:hAnsi="Times New Roman" w:cs="Times New Roman"/>
          <w:sz w:val="24"/>
          <w:szCs w:val="24"/>
        </w:rPr>
        <w:t>ledbetændelser</w:t>
      </w:r>
      <w:proofErr w:type="spellEnd"/>
      <w:r w:rsidRPr="006678F0">
        <w:rPr>
          <w:rFonts w:ascii="Times New Roman" w:eastAsia="Times New Roman" w:hAnsi="Times New Roman" w:cs="Times New Roman"/>
          <w:sz w:val="24"/>
          <w:szCs w:val="24"/>
        </w:rPr>
        <w:t xml:space="preserve"> eller leddegigt.</w:t>
      </w:r>
    </w:p>
    <w:p w:rsidR="006678F0" w:rsidRP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8F0" w:rsidRP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8F0">
        <w:rPr>
          <w:rFonts w:ascii="Times New Roman" w:eastAsia="Times New Roman" w:hAnsi="Times New Roman" w:cs="Times New Roman"/>
          <w:sz w:val="24"/>
          <w:szCs w:val="24"/>
        </w:rPr>
        <w:t>5. Erhvervet platfod som følge af degeneration,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8F0">
        <w:rPr>
          <w:rFonts w:ascii="Times New Roman" w:eastAsia="Times New Roman" w:hAnsi="Times New Roman" w:cs="Times New Roman"/>
          <w:sz w:val="24"/>
          <w:szCs w:val="24"/>
        </w:rPr>
        <w:t xml:space="preserve">blandt andet </w:t>
      </w:r>
      <w:proofErr w:type="spellStart"/>
      <w:r w:rsidRPr="006678F0">
        <w:rPr>
          <w:rFonts w:ascii="Times New Roman" w:eastAsia="Times New Roman" w:hAnsi="Times New Roman" w:cs="Times New Roman"/>
          <w:sz w:val="24"/>
          <w:szCs w:val="24"/>
        </w:rPr>
        <w:t>tibialis</w:t>
      </w:r>
      <w:proofErr w:type="spellEnd"/>
      <w:r w:rsidRPr="0066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8F0">
        <w:rPr>
          <w:rFonts w:ascii="Times New Roman" w:eastAsia="Times New Roman" w:hAnsi="Times New Roman" w:cs="Times New Roman"/>
          <w:sz w:val="24"/>
          <w:szCs w:val="24"/>
        </w:rPr>
        <w:t>posterior</w:t>
      </w:r>
      <w:proofErr w:type="spellEnd"/>
      <w:r w:rsidRPr="006678F0">
        <w:rPr>
          <w:rFonts w:ascii="Times New Roman" w:eastAsia="Times New Roman" w:hAnsi="Times New Roman" w:cs="Times New Roman"/>
          <w:sz w:val="24"/>
          <w:szCs w:val="24"/>
        </w:rPr>
        <w:t xml:space="preserve"> insufficiens.</w:t>
      </w:r>
    </w:p>
    <w:p w:rsid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8F0" w:rsidRP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8F0">
        <w:rPr>
          <w:rFonts w:ascii="Times New Roman" w:eastAsia="Times New Roman" w:hAnsi="Times New Roman" w:cs="Times New Roman"/>
          <w:sz w:val="24"/>
          <w:szCs w:val="24"/>
        </w:rPr>
        <w:t>6. Aflastning af varigt smertende ar i fodsålen.</w:t>
      </w:r>
    </w:p>
    <w:p w:rsid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8F0" w:rsidRP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8F0">
        <w:rPr>
          <w:rFonts w:ascii="Times New Roman" w:eastAsia="Times New Roman" w:hAnsi="Times New Roman" w:cs="Times New Roman"/>
          <w:sz w:val="24"/>
          <w:szCs w:val="24"/>
        </w:rPr>
        <w:t>7. Andre foddeformiteter af tilsvarende sværhedsgrad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8F0">
        <w:rPr>
          <w:rFonts w:ascii="Times New Roman" w:eastAsia="Times New Roman" w:hAnsi="Times New Roman" w:cs="Times New Roman"/>
          <w:sz w:val="24"/>
          <w:szCs w:val="24"/>
        </w:rPr>
        <w:t>efter særlig begrundelse, fx svært fikseret</w:t>
      </w:r>
    </w:p>
    <w:p w:rsidR="006678F0" w:rsidRP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8F0">
        <w:rPr>
          <w:rFonts w:ascii="Times New Roman" w:eastAsia="Times New Roman" w:hAnsi="Times New Roman" w:cs="Times New Roman"/>
          <w:sz w:val="24"/>
          <w:szCs w:val="24"/>
        </w:rPr>
        <w:t xml:space="preserve">platfod, svær slaphed af ledbånd og </w:t>
      </w:r>
      <w:proofErr w:type="spellStart"/>
      <w:r w:rsidRPr="006678F0">
        <w:rPr>
          <w:rFonts w:ascii="Times New Roman" w:eastAsia="Times New Roman" w:hAnsi="Times New Roman" w:cs="Times New Roman"/>
          <w:sz w:val="24"/>
          <w:szCs w:val="24"/>
        </w:rPr>
        <w:t>ledkapsler</w:t>
      </w:r>
      <w:proofErr w:type="spellEnd"/>
      <w:r w:rsidRPr="006678F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8F0">
        <w:rPr>
          <w:rFonts w:ascii="Times New Roman" w:eastAsia="Times New Roman" w:hAnsi="Times New Roman" w:cs="Times New Roman"/>
          <w:sz w:val="24"/>
          <w:szCs w:val="24"/>
          <w:lang w:val="pt-PT"/>
        </w:rPr>
        <w:t>samt osteogenesis imperfecta.</w:t>
      </w:r>
      <w:r w:rsidRPr="0066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8F0" w:rsidRPr="006678F0" w:rsidRDefault="006678F0" w:rsidP="006678F0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8F0">
        <w:rPr>
          <w:rFonts w:ascii="Times New Roman" w:eastAsia="Times New Roman" w:hAnsi="Times New Roman" w:cs="Times New Roman"/>
          <w:sz w:val="24"/>
          <w:szCs w:val="24"/>
        </w:rPr>
        <w:t>Der kan således ikke ydes hjælp til indlæg ved almindelig platfod eller blød platfod hos børn.</w:t>
      </w:r>
    </w:p>
    <w:p w:rsidR="006678F0" w:rsidRDefault="006678F0" w:rsidP="00307F0C">
      <w:pPr>
        <w:pStyle w:val="Brdtek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68" w:rsidRDefault="00315268" w:rsidP="00307F0C">
      <w:pPr>
        <w:pStyle w:val="Brd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tillader os derfor at returnere henvisningen. </w:t>
      </w:r>
    </w:p>
    <w:p w:rsidR="00315268" w:rsidRDefault="00315268" w:rsidP="00307F0C">
      <w:pPr>
        <w:pStyle w:val="Brd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F0C" w:rsidRDefault="006678F0" w:rsidP="00307F0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Hos patienter med svær</w:t>
      </w:r>
      <w:r w:rsidR="00307F0C">
        <w:rPr>
          <w:rFonts w:ascii="Times New Roman" w:hAnsi="Times New Roman"/>
          <w:sz w:val="24"/>
          <w:szCs w:val="24"/>
        </w:rPr>
        <w:t xml:space="preserve"> leddegigt</w:t>
      </w:r>
      <w:r>
        <w:rPr>
          <w:rFonts w:ascii="Times New Roman" w:hAnsi="Times New Roman"/>
          <w:sz w:val="24"/>
          <w:szCs w:val="24"/>
        </w:rPr>
        <w:t>, hvor der er fejlstilling og</w:t>
      </w:r>
      <w:r w:rsidR="00307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0C">
        <w:rPr>
          <w:rFonts w:ascii="Times New Roman" w:hAnsi="Times New Roman"/>
          <w:sz w:val="24"/>
          <w:szCs w:val="24"/>
        </w:rPr>
        <w:t>ledskred</w:t>
      </w:r>
      <w:proofErr w:type="spellEnd"/>
      <w:r w:rsidR="00307F0C">
        <w:rPr>
          <w:rFonts w:ascii="Times New Roman" w:hAnsi="Times New Roman"/>
          <w:sz w:val="24"/>
          <w:szCs w:val="24"/>
        </w:rPr>
        <w:t xml:space="preserve"> i et elle</w:t>
      </w:r>
      <w:r>
        <w:rPr>
          <w:rFonts w:ascii="Times New Roman" w:hAnsi="Times New Roman"/>
          <w:sz w:val="24"/>
          <w:szCs w:val="24"/>
        </w:rPr>
        <w:t xml:space="preserve">r flere </w:t>
      </w:r>
      <w:proofErr w:type="spellStart"/>
      <w:r>
        <w:rPr>
          <w:rFonts w:ascii="Times New Roman" w:hAnsi="Times New Roman"/>
          <w:sz w:val="24"/>
          <w:szCs w:val="24"/>
        </w:rPr>
        <w:t>metatarso-phalangealled</w:t>
      </w:r>
      <w:proofErr w:type="spellEnd"/>
      <w:r>
        <w:rPr>
          <w:rFonts w:ascii="Times New Roman" w:hAnsi="Times New Roman"/>
          <w:sz w:val="24"/>
          <w:szCs w:val="24"/>
        </w:rPr>
        <w:t>, bør patienten henvises til ortopædkirurgisk afdeling.</w:t>
      </w:r>
    </w:p>
    <w:p w:rsidR="006678F0" w:rsidRDefault="006678F0" w:rsidP="00307F0C">
      <w:pPr>
        <w:pStyle w:val="Brdtek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DDC" w:rsidRDefault="00852DDC" w:rsidP="006678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</w:p>
    <w:p w:rsidR="006678F0" w:rsidRPr="006678F0" w:rsidRDefault="006678F0" w:rsidP="006678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 w:rsidRPr="006678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Med venlig hilsen</w:t>
      </w:r>
    </w:p>
    <w:p w:rsidR="006678F0" w:rsidRPr="006678F0" w:rsidRDefault="006678F0" w:rsidP="006678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  <w:r w:rsidRPr="006678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  <w:t>Fod &amp; ankel sektoren, ortopædkirurgisk afd. O, OUH.</w:t>
      </w:r>
    </w:p>
    <w:p w:rsidR="00F506A8" w:rsidRDefault="00F506A8"/>
    <w:sectPr w:rsidR="00F506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C"/>
    <w:rsid w:val="00015616"/>
    <w:rsid w:val="00283298"/>
    <w:rsid w:val="002961E0"/>
    <w:rsid w:val="00307F0C"/>
    <w:rsid w:val="00315268"/>
    <w:rsid w:val="004474C2"/>
    <w:rsid w:val="006678F0"/>
    <w:rsid w:val="00687E4B"/>
    <w:rsid w:val="00745E9E"/>
    <w:rsid w:val="00773C58"/>
    <w:rsid w:val="007B7933"/>
    <w:rsid w:val="00803D9A"/>
    <w:rsid w:val="00852DDC"/>
    <w:rsid w:val="00870A68"/>
    <w:rsid w:val="00894BFC"/>
    <w:rsid w:val="009848E9"/>
    <w:rsid w:val="009E55CC"/>
    <w:rsid w:val="00AA65C6"/>
    <w:rsid w:val="00BC143B"/>
    <w:rsid w:val="00DB289E"/>
    <w:rsid w:val="00E33552"/>
    <w:rsid w:val="00F506A8"/>
    <w:rsid w:val="00F83CC4"/>
    <w:rsid w:val="00F938E5"/>
    <w:rsid w:val="00FB048B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307F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07F0C"/>
    <w:rPr>
      <w:rFonts w:ascii="Calibri" w:eastAsia="Calibri" w:hAnsi="Calibri" w:cs="Calibri"/>
      <w:color w:val="000000"/>
      <w:u w:color="000000"/>
      <w:bdr w:val="nil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307F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07F0C"/>
    <w:rPr>
      <w:rFonts w:ascii="Calibri" w:eastAsia="Calibri" w:hAnsi="Calibri" w:cs="Calibri"/>
      <w:color w:val="000000"/>
      <w:u w:color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44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608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47439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41213">
          <w:marLeft w:val="0"/>
          <w:marRight w:val="0"/>
          <w:marTop w:val="0"/>
          <w:marBottom w:val="0"/>
          <w:divBdr>
            <w:top w:val="none" w:sz="0" w:space="0" w:color="C9CDCF"/>
            <w:left w:val="none" w:sz="0" w:space="0" w:color="C9CDCF"/>
            <w:bottom w:val="none" w:sz="0" w:space="0" w:color="C9CDCF"/>
            <w:right w:val="none" w:sz="0" w:space="0" w:color="C9CDCF"/>
          </w:divBdr>
          <w:divsChild>
            <w:div w:id="2527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2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1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9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0320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Frøkjær</dc:creator>
  <cp:lastModifiedBy>Lonnie Froberg</cp:lastModifiedBy>
  <cp:revision>2</cp:revision>
  <dcterms:created xsi:type="dcterms:W3CDTF">2020-05-30T05:14:00Z</dcterms:created>
  <dcterms:modified xsi:type="dcterms:W3CDTF">2020-05-30T05:14:00Z</dcterms:modified>
</cp:coreProperties>
</file>